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A5" w:rsidRPr="00163AA5" w:rsidRDefault="00163AA5" w:rsidP="00163AA5">
      <w:pPr>
        <w:spacing w:after="0"/>
        <w:jc w:val="right"/>
        <w:rPr>
          <w:rFonts w:ascii="Garamond" w:hAnsi="Garamond"/>
        </w:rPr>
      </w:pPr>
    </w:p>
    <w:p w:rsidR="00163AA5" w:rsidRPr="00163AA5" w:rsidRDefault="00163AA5" w:rsidP="00163AA5">
      <w:pPr>
        <w:rPr>
          <w:rFonts w:ascii="Garamond" w:hAnsi="Garamond"/>
          <w:sz w:val="16"/>
          <w:szCs w:val="16"/>
        </w:rPr>
      </w:pPr>
      <w:r w:rsidRPr="00163AA5">
        <w:rPr>
          <w:rFonts w:ascii="Garamond" w:hAnsi="Garamond"/>
          <w:sz w:val="16"/>
          <w:szCs w:val="16"/>
        </w:rPr>
        <w:t>Załącznik nr 10</w:t>
      </w:r>
    </w:p>
    <w:p w:rsidR="00163AA5" w:rsidRPr="00163AA5" w:rsidRDefault="00163AA5" w:rsidP="00163AA5">
      <w:pPr>
        <w:jc w:val="center"/>
        <w:rPr>
          <w:rFonts w:ascii="Garamond" w:hAnsi="Garamond"/>
          <w:b/>
        </w:rPr>
      </w:pPr>
      <w:r w:rsidRPr="00163AA5">
        <w:rPr>
          <w:rFonts w:ascii="Garamond" w:hAnsi="Garamond"/>
          <w:b/>
        </w:rPr>
        <w:t xml:space="preserve">Szczegółowe zestawienie </w:t>
      </w:r>
    </w:p>
    <w:tbl>
      <w:tblPr>
        <w:tblStyle w:val="Tabela-Siatka4"/>
        <w:tblW w:w="0" w:type="auto"/>
        <w:tblLook w:val="04A0" w:firstRow="1" w:lastRow="0" w:firstColumn="1" w:lastColumn="0" w:noHBand="0" w:noVBand="1"/>
      </w:tblPr>
      <w:tblGrid>
        <w:gridCol w:w="519"/>
        <w:gridCol w:w="2670"/>
        <w:gridCol w:w="2926"/>
        <w:gridCol w:w="22"/>
        <w:gridCol w:w="2925"/>
      </w:tblGrid>
      <w:tr w:rsidR="00163AA5" w:rsidRPr="00163AA5" w:rsidTr="00163AA5">
        <w:trPr>
          <w:trHeight w:val="611"/>
        </w:trPr>
        <w:tc>
          <w:tcPr>
            <w:tcW w:w="519" w:type="dxa"/>
            <w:vAlign w:val="center"/>
          </w:tcPr>
          <w:p w:rsidR="00163AA5" w:rsidRPr="00163AA5" w:rsidRDefault="00163AA5" w:rsidP="00163AA5">
            <w:pPr>
              <w:rPr>
                <w:rFonts w:ascii="Garamond" w:eastAsia="Calibri" w:hAnsi="Garamond" w:cs="Times New Roman"/>
              </w:rPr>
            </w:pPr>
          </w:p>
        </w:tc>
        <w:tc>
          <w:tcPr>
            <w:tcW w:w="8543" w:type="dxa"/>
            <w:gridSpan w:val="4"/>
            <w:vAlign w:val="center"/>
          </w:tcPr>
          <w:p w:rsidR="00163AA5" w:rsidRPr="00163AA5" w:rsidRDefault="00163AA5" w:rsidP="00163AA5">
            <w:pPr>
              <w:suppressAutoHyphens/>
              <w:jc w:val="center"/>
              <w:rPr>
                <w:rFonts w:ascii="Garamond" w:eastAsia="Calibri" w:hAnsi="Garamond" w:cs="Times New Roman"/>
                <w:b/>
              </w:rPr>
            </w:pPr>
            <w:r w:rsidRPr="00163AA5">
              <w:rPr>
                <w:rFonts w:ascii="Garamond" w:eastAsia="Calibri" w:hAnsi="Garamond" w:cs="Times New Roman"/>
                <w:b/>
              </w:rPr>
              <w:t>Magazyn na przedmioty do ponownego użycia z wyposażeniem</w:t>
            </w:r>
          </w:p>
        </w:tc>
      </w:tr>
      <w:tr w:rsidR="00163AA5" w:rsidRPr="00163AA5" w:rsidTr="00163AA5">
        <w:trPr>
          <w:trHeight w:val="368"/>
        </w:trPr>
        <w:tc>
          <w:tcPr>
            <w:tcW w:w="519" w:type="dxa"/>
            <w:vAlign w:val="center"/>
          </w:tcPr>
          <w:p w:rsidR="00163AA5" w:rsidRPr="00163AA5" w:rsidRDefault="00163AA5" w:rsidP="00163AA5">
            <w:pPr>
              <w:rPr>
                <w:rFonts w:ascii="Garamond" w:eastAsia="Calibri" w:hAnsi="Garamond" w:cs="Times New Roman"/>
              </w:rPr>
            </w:pPr>
          </w:p>
        </w:tc>
        <w:tc>
          <w:tcPr>
            <w:tcW w:w="2670" w:type="dxa"/>
            <w:vAlign w:val="center"/>
          </w:tcPr>
          <w:p w:rsidR="00163AA5" w:rsidRPr="00163AA5" w:rsidRDefault="00163AA5" w:rsidP="00163AA5">
            <w:pPr>
              <w:suppressAutoHyphens/>
              <w:jc w:val="center"/>
              <w:rPr>
                <w:rFonts w:ascii="Garamond" w:eastAsia="Calibri" w:hAnsi="Garamond" w:cs="Times New Roman"/>
                <w:b/>
              </w:rPr>
            </w:pPr>
            <w:r w:rsidRPr="00EC2CA6">
              <w:rPr>
                <w:rFonts w:ascii="Garamond" w:eastAsia="Calibri" w:hAnsi="Garamond" w:cs="Times New Roman"/>
                <w:b/>
              </w:rPr>
              <w:t>Nazwa</w:t>
            </w:r>
          </w:p>
        </w:tc>
        <w:tc>
          <w:tcPr>
            <w:tcW w:w="2926" w:type="dxa"/>
            <w:vAlign w:val="center"/>
          </w:tcPr>
          <w:p w:rsidR="00163AA5" w:rsidRPr="00163AA5" w:rsidRDefault="00163AA5" w:rsidP="00163AA5">
            <w:pPr>
              <w:suppressAutoHyphens/>
              <w:jc w:val="center"/>
              <w:rPr>
                <w:rFonts w:ascii="Garamond" w:eastAsia="Calibri" w:hAnsi="Garamond" w:cs="Times New Roman"/>
                <w:b/>
              </w:rPr>
            </w:pPr>
            <w:r>
              <w:rPr>
                <w:rFonts w:ascii="Garamond" w:eastAsia="Calibri" w:hAnsi="Garamond" w:cs="Times New Roman"/>
                <w:b/>
              </w:rPr>
              <w:t xml:space="preserve">Charakterystyka </w:t>
            </w:r>
          </w:p>
        </w:tc>
        <w:tc>
          <w:tcPr>
            <w:tcW w:w="2947" w:type="dxa"/>
            <w:gridSpan w:val="2"/>
            <w:vAlign w:val="center"/>
          </w:tcPr>
          <w:p w:rsidR="00163AA5" w:rsidRPr="00163AA5" w:rsidRDefault="00163AA5" w:rsidP="00163AA5">
            <w:pPr>
              <w:suppressAutoHyphens/>
              <w:jc w:val="center"/>
              <w:rPr>
                <w:rFonts w:ascii="Garamond" w:eastAsia="Calibri" w:hAnsi="Garamond" w:cs="Times New Roman"/>
                <w:b/>
              </w:rPr>
            </w:pPr>
            <w:r>
              <w:rPr>
                <w:rFonts w:ascii="Garamond" w:eastAsia="Calibri" w:hAnsi="Garamond" w:cs="Times New Roman"/>
                <w:b/>
              </w:rPr>
              <w:t>Ilość</w:t>
            </w:r>
          </w:p>
        </w:tc>
      </w:tr>
      <w:tr w:rsidR="00163AA5" w:rsidRPr="00163AA5" w:rsidTr="00163AA5">
        <w:trPr>
          <w:trHeight w:val="342"/>
        </w:trPr>
        <w:tc>
          <w:tcPr>
            <w:tcW w:w="519" w:type="dxa"/>
            <w:vAlign w:val="center"/>
          </w:tcPr>
          <w:p w:rsidR="00163AA5" w:rsidRPr="00163AA5" w:rsidRDefault="00163AA5" w:rsidP="00163AA5">
            <w:pPr>
              <w:pStyle w:val="Akapitzlist"/>
              <w:numPr>
                <w:ilvl w:val="0"/>
                <w:numId w:val="1"/>
              </w:numPr>
              <w:suppressAutoHyphens/>
              <w:rPr>
                <w:rFonts w:ascii="Garamond" w:eastAsia="Calibri" w:hAnsi="Garamond" w:cs="Times New Roman"/>
              </w:rPr>
            </w:pPr>
          </w:p>
        </w:tc>
        <w:tc>
          <w:tcPr>
            <w:tcW w:w="2670" w:type="dxa"/>
            <w:vAlign w:val="center"/>
          </w:tcPr>
          <w:p w:rsidR="00163AA5" w:rsidRPr="00163AA5" w:rsidRDefault="00163AA5" w:rsidP="00163AA5">
            <w:pPr>
              <w:suppressAutoHyphens/>
              <w:rPr>
                <w:rFonts w:ascii="Garamond" w:eastAsia="Calibri" w:hAnsi="Garamond" w:cs="Times New Roman"/>
              </w:rPr>
            </w:pPr>
          </w:p>
        </w:tc>
        <w:tc>
          <w:tcPr>
            <w:tcW w:w="2948" w:type="dxa"/>
            <w:gridSpan w:val="2"/>
            <w:vAlign w:val="center"/>
          </w:tcPr>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1)Właściwości funkcjonalno-użytkowe Pomieszczenie  na  przedmioty  do  ponownego  użycia  podzielić  należy  funkcjonalnie  na 2części: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-część   magazynowa przedmiotów   do   ponownego   użycia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–do   gromadzenia i   przechowywania   odpadów   i   przedmiotów   nadających   się   do   ponownego wykorzystania  (</w:t>
            </w:r>
            <w:proofErr w:type="spellStart"/>
            <w:r w:rsidRPr="00163AA5">
              <w:rPr>
                <w:rFonts w:ascii="Garamond" w:eastAsia="Calibri" w:hAnsi="Garamond" w:cs="Times New Roman"/>
                <w:sz w:val="16"/>
                <w:szCs w:val="16"/>
              </w:rPr>
              <w:t>odrazu</w:t>
            </w:r>
            <w:proofErr w:type="spellEnd"/>
            <w:r w:rsidRPr="00163AA5">
              <w:rPr>
                <w:rFonts w:ascii="Garamond" w:eastAsia="Calibri" w:hAnsi="Garamond" w:cs="Times New Roman"/>
                <w:sz w:val="16"/>
                <w:szCs w:val="16"/>
              </w:rPr>
              <w:t xml:space="preserve">  lub  po  dokonaniu  drobnych  napraw),  np.  meble  i  inne wyposażenie domu, wózki dziecięce, sprzęt sportowy, inne przedmioty i sprzęty,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-część napraw –miejsce przeprowadzania drobnych napraw odpadów i nadanie im wartości użytkowych. Część magazynowa przedmiotów do ponownego użycia wyposażyć w:</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1)instalację  elektryczną–oświetleniową  i podwójnych gniazd wtykowych  (min. 4szt.),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2)instalację wentylacyjną(wentylacja mechaniczna),</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3)podstawowy sprzęt ppoż. i bhp zgodnie z przepisami szczegółowymi,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4)2kosze siatkowe o pojemności min. 0,9m3na palecie–na drobne przedmioty,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d)2regały o następujących parametrach:-półki   wykonane   z   blachy   stalowej   o   grubości   min. 1mm   podwójnie doginanej, wzmacnianej od spodu profilem C o udźwigu na półkę do 150kg, -słupy  nośne  wykonane  z  kątownika  40x60x2mm  perforowanego  co  20mm i wyposażone w stopkę z tworzywa, -regały  muszą  posiadać  dodatkowo  kątowniki  montowane  pod  najniższą i najwyższą półkę usztywniające całą konstrukcję, -regały lakierowane proszkowo na kolor szary,-udźwig   całego   regału   min.   600kg,   regał   musi   posiadać   oznakowanie dopuszczalnego obciążenia, -wymiary: wysokość: 220 cm, głębokość: 60cm, szerokość: 100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5)ręczny, dwukołowy wózek unoszący, do przemieszczania mebli, lodówek itp.,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Część napraw przedmiotów do ponownego użycia wyposażone w:</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1)stół o następujących parametrach:-konstrukcja stołu z kształtowników stalowych o grubości 3mm,-blat   o   grubości   min.   45mm –lakierowany,   lakierem   bezbarwnym, bezwonnym, zamknięto-porowym,-konstrukcja  wykonana  z    kształtowników  stalowych  oraz  blat  grubości  min. 45mm,-nośność stołu minimum –1000kg,-malowane trwałymi farbami proszkowymi strukturalnymi, w kolorze szarym,-wymiary  gabarytowe  bez  nadbudowy  min.:  szerokość:  150  cm, wysokość:</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90 cm, głębokość: 74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2)metalowa szafka stojąca z szufladami na narzędzia:</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lastRenderedPageBreak/>
              <w:t xml:space="preserve">-szafka metalowa z 4 szufladami zamykanymi na klucz, -stabilna konstrukcja metalowa,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-szafka w kolorze szarym,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-komplet 2 kluczyków,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-zamknięcie na klucz powoduje zamknięcie wszystkich szuflad, -wymiary: wysokość: 80cm, szerokość: 42cm, głębokość: 57cm;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3)zestaw  podstawowych  narzędzi  ręcznych  (zestaw  śrubokrętów,  młotek  stolarski 0,5kg i0,8kg, piłę ręczną do drewna, 2kg gwoździ stalowych 1 cal, 2 kg gwoździ 2cale, 3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 wkrętów do drewna różnej wielkości),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4)imadło ślusarskie  (korpus  i  szczęka  ruchoma  wykonane  z  wysokiej  jakości żeliwnych    odlewów    o    gwarantowanej    wytrzymałości,    wymienne    wkładki szczękowe, hartowane indukcyjnie i szlifowane, nacięty molet gwarantuje pewne i bezpieczne mocowanie,  wkładki szczękowe posiadają poziomą i pionową pryzmę, możliwość  mocowania rur  i  prętów  dzięki  odpowiedniemu  kształtowi  szczęki ruchomej,    dokładnie    osłonięta    przed    wiórami    i zanieczyszczeniami    śruba pociągowa, długi okres eksploatacji, Wymiary: S: 150 L,A: 170 mm, H: 182 mm, L: 380 mm, a: 125 mm, d: 13 mm, h: 75 mm)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5)szlifierka  kątowa  min.  125  mm:  osłona,  rękojeść  dodatkowa,  kołnierz  mocujący, nakrętka   mocująca, klucz   widełkowy,   wydajność   nominalna   min.:   1.400W, prędkość  obrotowa  bez  obciążenia min:  2.200-7.500  min-1,  moc  wyjściowa  ok: 820W,  gwint  wrzeciona  szlifierki:  M14,  średnica  tarcz  min.:  125mm,  średnica gumowego talerza szlifierskiego min.: 125mm, średnica szczotki garnkowej min.: 70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6)wiertarka ręczna   elektryczna   o   mocy   min.   1200W,   wielkość   uchwytu   do max.13mm,  z przełączeniem  obrotów  lewo,  prawo –1  szt.  Wiertarka  powinna być wyposażona w lampkę kontrolną sygnalizująca usterki przewodu i wyłącznika, sprzęgło   przeciążeniowe   chroniące   użytkownika   i   przekładnię   w   przypadku zablokowania  wiertła,  pokrętło  regulacji  dla  stałej  prędkości  obrotowej  pod obciążeniem,  układ  łagodnego  rozruchu,  przekładnię  dwubiegową  z  blokadą, mocną obudowę przekładni z aluminium odlewanego pod ciśnieniem,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7)zestaw  wkrętaków płaskich:  4,0  x  100mm,  5.5  x  125  mm,  6,5  x  150mm, Wkrętaki  krzyżowe  PH1  x  80  mm,  PH2  x  100  mm,  klinga  wykonana  ze  stali </w:t>
            </w:r>
            <w:proofErr w:type="spellStart"/>
            <w:r w:rsidRPr="00163AA5">
              <w:rPr>
                <w:rFonts w:ascii="Garamond" w:eastAsia="Calibri" w:hAnsi="Garamond" w:cs="Times New Roman"/>
                <w:sz w:val="16"/>
                <w:szCs w:val="16"/>
              </w:rPr>
              <w:t>chromowo-molibdenowo-wanadowej</w:t>
            </w:r>
            <w:proofErr w:type="spellEnd"/>
            <w:r w:rsidRPr="00163AA5">
              <w:rPr>
                <w:rFonts w:ascii="Garamond" w:eastAsia="Calibri" w:hAnsi="Garamond" w:cs="Times New Roman"/>
                <w:sz w:val="16"/>
                <w:szCs w:val="16"/>
              </w:rPr>
              <w:t xml:space="preserve">,  otwór  poprzeczny  w  uchwycie,  zewnętrzna powłoka rękojeści zbudowana </w:t>
            </w:r>
            <w:proofErr w:type="spellStart"/>
            <w:r w:rsidRPr="00163AA5">
              <w:rPr>
                <w:rFonts w:ascii="Garamond" w:eastAsia="Calibri" w:hAnsi="Garamond" w:cs="Times New Roman"/>
                <w:sz w:val="16"/>
                <w:szCs w:val="16"/>
              </w:rPr>
              <w:t>zelastomeru</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8)zestaw  kluczy nasadowych ze stali  chromowo-wanadowej,  nasadki  sześciokątne, 1grzechotka, 1  przegub  uniwersalny,  3  przedłużki  75  mm,  100  mm,  150mm,  1 redukcja  1/2"M  x  3/8"F,  minimum  17  nasadek  w  rozmiarach:  8,  10,  11,  12,  13, 14, 15, 16, 17, 18, 19, 21, 22, 24, 27, 30, 32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9)zestaw min. 12 kluczy oczkowych półotwartych i odgiętych od 4 mm do 32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10)zestaw  kombinerek  izolowanych  160  mm,  200  mm,  szczypce  boczne  180  </w:t>
            </w:r>
            <w:r w:rsidRPr="00163AA5">
              <w:rPr>
                <w:rFonts w:ascii="Garamond" w:eastAsia="Calibri" w:hAnsi="Garamond" w:cs="Times New Roman"/>
                <w:sz w:val="16"/>
                <w:szCs w:val="16"/>
              </w:rPr>
              <w:lastRenderedPageBreak/>
              <w:t>mm, szczypce czołowe 200 mm, szczypce precyzyjne czołowe 115mm,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11)zszywacz  tapicerski –14mm,  obudowa  z  aluminium, zszywki  wkładane  od dołu, blokada  zszywacza,  zszywki  typ  J  w  rozmiarach:  6,  8,  10,  12,  14  mm  wraz  z kompletem zszywek (min. 1000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12)2szt. Noży z ostrzem łamanym 18mm blokada śrubowa, wraz z kompletem ostrzy łamanych wymienne 18mm -20szt.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13)3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 wierteł do metalu i drewna od ø 2 ÷ ø 13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14)szczotki druciane ręczne –3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15)rękawice ochronne(10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16)okulary ochronne (10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17)nauszniki ochronne (10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18)przedłużacz elektryczny –min. 4 </w:t>
            </w:r>
            <w:proofErr w:type="spellStart"/>
            <w:r w:rsidRPr="00163AA5">
              <w:rPr>
                <w:rFonts w:ascii="Garamond" w:eastAsia="Calibri" w:hAnsi="Garamond" w:cs="Times New Roman"/>
                <w:sz w:val="16"/>
                <w:szCs w:val="16"/>
              </w:rPr>
              <w:t>mb</w:t>
            </w:r>
            <w:proofErr w:type="spellEnd"/>
            <w:r w:rsidRPr="00163AA5">
              <w:rPr>
                <w:rFonts w:ascii="Garamond" w:eastAsia="Calibri" w:hAnsi="Garamond" w:cs="Times New Roman"/>
                <w:sz w:val="16"/>
                <w:szCs w:val="16"/>
              </w:rPr>
              <w:t xml:space="preserve"> –2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e)regał o następujących parametrach:</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-półki   wykonane   z   blachy   stalowej   o   grubości   min.   1mm   podwójnie doginanej, wzmacnianej od spodu profilem C o udźwigu na półkę do 150kg,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-słupy  nośne  </w:t>
            </w:r>
            <w:proofErr w:type="spellStart"/>
            <w:r w:rsidRPr="00163AA5">
              <w:rPr>
                <w:rFonts w:ascii="Garamond" w:eastAsia="Calibri" w:hAnsi="Garamond" w:cs="Times New Roman"/>
                <w:sz w:val="16"/>
                <w:szCs w:val="16"/>
              </w:rPr>
              <w:t>wykonanez</w:t>
            </w:r>
            <w:proofErr w:type="spellEnd"/>
            <w:r w:rsidRPr="00163AA5">
              <w:rPr>
                <w:rFonts w:ascii="Garamond" w:eastAsia="Calibri" w:hAnsi="Garamond" w:cs="Times New Roman"/>
                <w:sz w:val="16"/>
                <w:szCs w:val="16"/>
              </w:rPr>
              <w:t xml:space="preserve">  kątownika  40x60x2mmperforowanego  co  20mm i wyposażone w stopkę z tworzywa,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-regały  muszą  posiadać  dodatkowo  kątowniki  montowane  pod  najniższą  i najwyższą półkę usztywniające całą konstrukcję,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-regały lakierowane proszkowo na kolor szary,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-udźwig   całego   regału   min.   600kg, regał   musi   posiadać   oznakowanie dopuszczalnego obciążenia, -wymiary: wysokość: 220 cm, głębokość: 60cm, szerokość: 100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19)miotła zewnętrzna (uliczna) z drewnianym korpusem w części roboczej wykonana z twardego  włosia  z  tworzywa  sztucznego,  osadzona  na  zakończonym  gwintem trwałym metalowym trzonku powleczonym warstwą tworzywa sztucznego, trzonek 130   cm drewniany; miotła   z   długim   włosiem -2szt.,   miotła   z   włosiem standardowej długości –2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20)łopata do   odgarniania   śniegu, część   robocza:   tworzywo   sztuczne, trzonek: aluminium wymiary min.:</w:t>
            </w:r>
            <w:proofErr w:type="spellStart"/>
            <w:r w:rsidRPr="00163AA5">
              <w:rPr>
                <w:rFonts w:ascii="Garamond" w:eastAsia="Calibri" w:hAnsi="Garamond" w:cs="Times New Roman"/>
                <w:sz w:val="16"/>
                <w:szCs w:val="16"/>
              </w:rPr>
              <w:t>dł</w:t>
            </w:r>
            <w:proofErr w:type="spellEnd"/>
            <w:r w:rsidRPr="00163AA5">
              <w:rPr>
                <w:rFonts w:ascii="Garamond" w:eastAsia="Calibri" w:hAnsi="Garamond" w:cs="Times New Roman"/>
                <w:sz w:val="16"/>
                <w:szCs w:val="16"/>
              </w:rPr>
              <w:t xml:space="preserve">.: 131 cm ×szer. szufli: 50 </w:t>
            </w:r>
            <w:proofErr w:type="spellStart"/>
            <w:r w:rsidRPr="00163AA5">
              <w:rPr>
                <w:rFonts w:ascii="Garamond" w:eastAsia="Calibri" w:hAnsi="Garamond" w:cs="Times New Roman"/>
                <w:sz w:val="16"/>
                <w:szCs w:val="16"/>
              </w:rPr>
              <w:t>cm×wys</w:t>
            </w:r>
            <w:proofErr w:type="spellEnd"/>
            <w:r w:rsidRPr="00163AA5">
              <w:rPr>
                <w:rFonts w:ascii="Garamond" w:eastAsia="Calibri" w:hAnsi="Garamond" w:cs="Times New Roman"/>
                <w:sz w:val="16"/>
                <w:szCs w:val="16"/>
              </w:rPr>
              <w:t>. szufli: 40cm–4szt.,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21)podstawowy sprzęt ppoż. i bhp zgodnie z przepisami szczegółowymi,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22)apteczka  przenośna,  apteczka  musi  być  wyposażona  w  instrukcję  oraz  element  oznakowania  miejsca  jej  zawieszenia(biały  krzyż  na  zielonym  tle). Zestawienie elementów apteczki: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gaza opatrunkowa jałowa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chusta trójkątna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opatrunek hydrożelowy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kompresy gazowe 9x9 cm 5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siatka opatrunkowa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(lub równoważna) nr 3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siatka opatrunkowa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(lub równoważna) nr 6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bandaż elastyczny 4m x 12 cm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przylepiec z opatrunkiem 6 cm x 1 m 1 op. </w:t>
            </w: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maska do zast</w:t>
            </w:r>
            <w:r w:rsidRPr="00163AA5">
              <w:rPr>
                <w:rFonts w:ascii="Garamond" w:eastAsia="Calibri" w:hAnsi="Garamond" w:cs="Garamond"/>
                <w:sz w:val="16"/>
                <w:szCs w:val="16"/>
              </w:rPr>
              <w:t>ę</w:t>
            </w:r>
            <w:r w:rsidRPr="00163AA5">
              <w:rPr>
                <w:rFonts w:ascii="Garamond" w:eastAsia="Calibri" w:hAnsi="Garamond" w:cs="Times New Roman"/>
                <w:sz w:val="16"/>
                <w:szCs w:val="16"/>
              </w:rPr>
              <w:t xml:space="preserve">pczej wentylacji (sztucznego oddychania)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zestaw do płukania oka (z płynem)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rękawiczki ochronne ratownicze jednorazowego użytku 4 pary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płyn do dezynfekcji rąk 1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agrafka 5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nożyczki 1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 </w:t>
            </w: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instrukcja udzielania pierwszej pomocy,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lastRenderedPageBreak/>
              <w:t>‒</w:t>
            </w:r>
            <w:r w:rsidRPr="00163AA5">
              <w:rPr>
                <w:rFonts w:ascii="Garamond" w:eastAsia="Calibri" w:hAnsi="Garamond" w:cs="Times New Roman"/>
                <w:sz w:val="16"/>
                <w:szCs w:val="16"/>
              </w:rPr>
              <w:t xml:space="preserve">latarka elektryczna lub jednorazowa latarka chemiczna,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nożyczki lub nóż,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gaza opatrunkowa sterylna (kompresy gazowe) –4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bandaż elastyczny –4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chusta trójkątna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elastyczna siatka opatrunkowa (np.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w:t>
            </w:r>
            <w:proofErr w:type="spellStart"/>
            <w:r w:rsidRPr="00163AA5">
              <w:rPr>
                <w:rFonts w:ascii="Garamond" w:eastAsia="Calibri" w:hAnsi="Garamond" w:cs="Times New Roman"/>
                <w:sz w:val="16"/>
                <w:szCs w:val="16"/>
              </w:rPr>
              <w:t>elastofix</w:t>
            </w:r>
            <w:proofErr w:type="spellEnd"/>
            <w:r w:rsidRPr="00163AA5">
              <w:rPr>
                <w:rFonts w:ascii="Garamond" w:eastAsia="Calibri" w:hAnsi="Garamond" w:cs="Times New Roman"/>
                <w:sz w:val="16"/>
                <w:szCs w:val="16"/>
              </w:rPr>
              <w:t xml:space="preserve"> -lub równoważna) -3 rozmiary,</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rękawiczki gumowe –3 pary,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folia termoizolacyjna srebrno-złota (folia </w:t>
            </w:r>
            <w:proofErr w:type="spellStart"/>
            <w:r w:rsidRPr="00163AA5">
              <w:rPr>
                <w:rFonts w:ascii="Garamond" w:eastAsia="Calibri" w:hAnsi="Garamond" w:cs="Times New Roman"/>
                <w:sz w:val="16"/>
                <w:szCs w:val="16"/>
              </w:rPr>
              <w:t>nrc</w:t>
            </w:r>
            <w:proofErr w:type="spellEnd"/>
            <w:r w:rsidRPr="00163AA5">
              <w:rPr>
                <w:rFonts w:ascii="Garamond" w:eastAsia="Calibri" w:hAnsi="Garamond" w:cs="Times New Roman"/>
                <w:sz w:val="16"/>
                <w:szCs w:val="16"/>
              </w:rPr>
              <w:t xml:space="preserve">)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plaster zwykły –2 rolki,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plaster z opatrunkiem –kilka rozmiarów. W  pomieszczeniu  zamontować należy uchwyt  na  apteczkę  oraz  oznakować  jej lokalizację(biały krzyż na zielonym tle).</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23)instalacje:</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-instalację  elektryczną–oświetleniową i podwójnych gniazd  wtykowych  (min. 4szt.),-instalację wentylacyjną (wentylacja mechaniczna).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2)Podstawowe wytyczne budowlano-montażowe i wskaźniki powierzchniowo-kubaturowe Pomieszczenie  zadaszone  i  zamykane.  Wysokość  min.  2,50  m  wysokości  użytkowej wewnątrz,  wymiary zewnętrzne: min. 6,0m  x  min. 5,0m.  Pomieszczenie  z  drzwiami dwuskrzydłowymi  otwieranymi  na  zewnątrz.  Drzwi zlokalizowane  w  środkowej  części dłuższego  boku pomieszczenia.  Drzwi ze  wzmocnieniami  i  z  zamkiem.  Szerokość  drzwi pozwalająca na   ruch   ręcznego   podnośnika   pneumatycznego   z   paletą   drewnianą standardowych wymiarów (E-PAL).Wentylacja,  jak  i  cała  konstrukcja  pomieszczenia  wykonana  w  sposób  uniemożliwiający wpływ warunków atmosferycznych na odpady wewnątrz pomieszczenia. Niedopuszczalne jest,   aby   opad   atmosferyczny   w   jakiejkolwiek   postaci   dostał   się   do   wnętrza pomieszczenia (np. poprzez otwory wentylacyjne lub ze względu na zastosowanie blachy trapezowej   w   sposób   tworzący   otwory   w miejscach   łączenia   się   boków   i   dachu konstrukcji).Pomieszczenie należy wyposażyć w mobilną, dostawianą, dopasowaną rampę najazdową, którą   można   zamontować jako podjazd   do   otworu   wejściowego.   Mobilna   rampa najazdowa,  ocynkowana  z  powierzchnią  antypoślizgową  pod  drzwi  w  celu  możliwości wjazdu / wyjazdu np. wózkiem ręcznym. Konstrukcja:  spawana  rama  podłogi,  stropodachu  oraz  słupy  usytuowane  w  narożach modułu, elementy konstrukcji pokryte powłokami antykorozyjnymi, odprowadzenie wody deszczowej rynnami PCV wewnątrz słupów narożnych. Ściany  zewnętrzne  (panele)  o  warstwach:  </w:t>
            </w:r>
            <w:proofErr w:type="spellStart"/>
            <w:r w:rsidRPr="00163AA5">
              <w:rPr>
                <w:rFonts w:ascii="Garamond" w:eastAsia="Calibri" w:hAnsi="Garamond" w:cs="Times New Roman"/>
                <w:sz w:val="16"/>
                <w:szCs w:val="16"/>
              </w:rPr>
              <w:t>trapezowana</w:t>
            </w:r>
            <w:proofErr w:type="spellEnd"/>
            <w:r w:rsidRPr="00163AA5">
              <w:rPr>
                <w:rFonts w:ascii="Garamond" w:eastAsia="Calibri" w:hAnsi="Garamond" w:cs="Times New Roman"/>
                <w:sz w:val="16"/>
                <w:szCs w:val="16"/>
              </w:rPr>
              <w:t xml:space="preserve">  blacha  lakierowana  RAL  9010 (biały) z zielonymi elementami dekoracyjnymi –motywy recyklingu o wymiarach min. 80 cm w  odcieniach  koloru  zielonego  (RAL6018  oraz  RAL  6001)  wraz  z  motywami graficznymi Gminy Lądek o wymiarach min. 80 cm zgodnie z załącznikami graficznymi do niniejszego PFU</w:t>
            </w:r>
          </w:p>
        </w:tc>
        <w:tc>
          <w:tcPr>
            <w:tcW w:w="2925" w:type="dxa"/>
            <w:vAlign w:val="center"/>
          </w:tcPr>
          <w:p w:rsidR="00163AA5" w:rsidRPr="00163AA5" w:rsidRDefault="00163AA5" w:rsidP="00163AA5">
            <w:pPr>
              <w:suppressAutoHyphens/>
              <w:jc w:val="center"/>
              <w:rPr>
                <w:rFonts w:ascii="Garamond" w:eastAsia="Calibri" w:hAnsi="Garamond" w:cs="Times New Roman"/>
              </w:rPr>
            </w:pPr>
            <w:r w:rsidRPr="00163AA5">
              <w:rPr>
                <w:rFonts w:ascii="Garamond" w:eastAsia="Calibri" w:hAnsi="Garamond" w:cs="Times New Roman"/>
              </w:rPr>
              <w:lastRenderedPageBreak/>
              <w:t xml:space="preserve">1 szt. </w:t>
            </w:r>
            <w:bookmarkStart w:id="0" w:name="_GoBack"/>
            <w:bookmarkEnd w:id="0"/>
          </w:p>
        </w:tc>
      </w:tr>
    </w:tbl>
    <w:p w:rsidR="00163AA5" w:rsidRPr="00163AA5" w:rsidRDefault="00163AA5" w:rsidP="00163AA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163AA5">
        <w:rPr>
          <w:rFonts w:ascii="Times New Roman" w:eastAsia="SimSun" w:hAnsi="Times New Roman" w:cs="Arial"/>
          <w:kern w:val="3"/>
          <w:sz w:val="24"/>
          <w:szCs w:val="24"/>
          <w:lang w:eastAsia="zh-CN" w:bidi="hi-IN"/>
        </w:rPr>
        <w:lastRenderedPageBreak/>
        <w:t xml:space="preserve">* Nazwy własne producentów lub nazwy konkretnych marek lub produktów nie oznaczają </w:t>
      </w:r>
      <w:r w:rsidRPr="00163AA5">
        <w:rPr>
          <w:rFonts w:ascii="Times New Roman" w:eastAsia="SimSun" w:hAnsi="Times New Roman" w:cs="Arial"/>
          <w:kern w:val="3"/>
          <w:sz w:val="24"/>
          <w:szCs w:val="24"/>
          <w:lang w:eastAsia="zh-CN" w:bidi="hi-IN"/>
        </w:rPr>
        <w:lastRenderedPageBreak/>
        <w:t>obowiązku ich stosowania, a Zamawiający dopuszcza w każdym przypadku użycie materiałów lub produktów równoważnych.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 przypadku gdy powołane normy i przepisy odnoszą się do konkretnego kraju lub regionu, mogą być również stosowane inne „równoważne” odpowiednie normy zapewniające równy lub wyższy poziom wykonania niż powołane normy lub przepisy. Jeżeli Zamawiający dopuszcza rozwiązania równoważne opisywane w dokumentacji, ale nie podaje minimalnych parametrów, które by tę równoważność potwierdzały – Wykonawca obowiązany jest zaoferować produkt o właściwościach zbliżonych, nadający się funkcjonalnie do zapotrzebowanego zastosowania (</w:t>
      </w:r>
      <w:proofErr w:type="spellStart"/>
      <w:r w:rsidRPr="00163AA5">
        <w:rPr>
          <w:rFonts w:ascii="Times New Roman" w:eastAsia="SimSun" w:hAnsi="Times New Roman" w:cs="Arial"/>
          <w:kern w:val="3"/>
          <w:sz w:val="24"/>
          <w:szCs w:val="24"/>
          <w:lang w:eastAsia="zh-CN" w:bidi="hi-IN"/>
        </w:rPr>
        <w:t>arg</w:t>
      </w:r>
      <w:proofErr w:type="spellEnd"/>
      <w:r w:rsidRPr="00163AA5">
        <w:rPr>
          <w:rFonts w:ascii="Times New Roman" w:eastAsia="SimSun" w:hAnsi="Times New Roman" w:cs="Arial"/>
          <w:kern w:val="3"/>
          <w:sz w:val="24"/>
          <w:szCs w:val="24"/>
          <w:lang w:eastAsia="zh-CN" w:bidi="hi-IN"/>
        </w:rPr>
        <w:t>. na podstawie sentencji wyroku Krajowej Izby Odwoławczej z dnia 14 października 2013r. [sygn. akt: KIO 2315/13]).</w:t>
      </w:r>
    </w:p>
    <w:p w:rsidR="00163AA5" w:rsidRPr="00163AA5" w:rsidRDefault="00163AA5" w:rsidP="00163AA5">
      <w:pPr>
        <w:jc w:val="center"/>
        <w:rPr>
          <w:rFonts w:ascii="Garamond" w:hAnsi="Garamond"/>
          <w:b/>
        </w:rPr>
      </w:pPr>
    </w:p>
    <w:p w:rsidR="004C7BBF" w:rsidRDefault="004C7BBF"/>
    <w:sectPr w:rsidR="004C7BBF" w:rsidSect="00016B25">
      <w:headerReference w:type="default" r:id="rId5"/>
      <w:footerReference w:type="default" r:id="rId6"/>
      <w:pgSz w:w="11906" w:h="16838"/>
      <w:pgMar w:top="1417" w:right="1417" w:bottom="1417" w:left="1417" w:header="708" w:footer="3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F" w:rsidRPr="00826F50" w:rsidRDefault="00163AA5" w:rsidP="00826F50">
    <w:pPr>
      <w:pStyle w:val="Stopka"/>
      <w:jc w:val="center"/>
      <w:rPr>
        <w:rFonts w:ascii="Garamond" w:hAnsi="Garamond"/>
      </w:rPr>
    </w:pPr>
    <w:r w:rsidRPr="00826F50">
      <w:rPr>
        <w:rFonts w:ascii="Garamond" w:hAnsi="Garamond"/>
      </w:rPr>
      <w:t>Projekt współfinansowany ze środków Unii Europejskiej w ramach Europejskiego Funduszu Rozwoju Regionalnego w ramach Wielkopolskiego Regionalnego Programu Operacyjnego 2014-2020</w:t>
    </w:r>
  </w:p>
  <w:p w:rsidR="0015391F" w:rsidRPr="00826F50" w:rsidRDefault="00163AA5" w:rsidP="00826F50">
    <w:pPr>
      <w:pStyle w:val="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F" w:rsidRPr="00826F50" w:rsidRDefault="00163AA5" w:rsidP="00826F50">
    <w:pPr>
      <w:pStyle w:val="Nagwek"/>
      <w:jc w:val="center"/>
    </w:pPr>
    <w:r>
      <w:rPr>
        <w:noProof/>
        <w:lang w:eastAsia="pl-PL"/>
      </w:rPr>
      <w:drawing>
        <wp:inline distT="0" distB="0" distL="0" distR="0" wp14:anchorId="28054BBD" wp14:editId="6E37570B">
          <wp:extent cx="4704715" cy="476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4715"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378DA"/>
    <w:multiLevelType w:val="hybridMultilevel"/>
    <w:tmpl w:val="7B585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7"/>
    <w:rsid w:val="00163AA5"/>
    <w:rsid w:val="004C7BBF"/>
    <w:rsid w:val="00A66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AD9D"/>
  <w15:chartTrackingRefBased/>
  <w15:docId w15:val="{A4536048-7E7B-473F-B9BF-2C80FB5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3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AA5"/>
  </w:style>
  <w:style w:type="paragraph" w:styleId="Stopka">
    <w:name w:val="footer"/>
    <w:basedOn w:val="Normalny"/>
    <w:link w:val="StopkaZnak"/>
    <w:uiPriority w:val="99"/>
    <w:unhideWhenUsed/>
    <w:rsid w:val="00163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AA5"/>
  </w:style>
  <w:style w:type="table" w:customStyle="1" w:styleId="Tabela-Siatka1">
    <w:name w:val="Tabela - Siatka1"/>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1681</Words>
  <Characters>10091</Characters>
  <Application>Microsoft Office Word</Application>
  <DocSecurity>0</DocSecurity>
  <Lines>84</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Drop</dc:creator>
  <cp:keywords/>
  <dc:description/>
  <cp:lastModifiedBy>Sylwia Drop</cp:lastModifiedBy>
  <cp:revision>2</cp:revision>
  <dcterms:created xsi:type="dcterms:W3CDTF">2019-09-05T11:14:00Z</dcterms:created>
  <dcterms:modified xsi:type="dcterms:W3CDTF">2019-09-05T11:19:00Z</dcterms:modified>
</cp:coreProperties>
</file>